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color w:val="000000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36"/>
          <w:szCs w:val="36"/>
          <w:rtl w:val="0"/>
        </w:rPr>
        <w:t xml:space="preserve">TEST DE POSITIONNEMENT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Formation remplissage clientèle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Nom – Prénom :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0"/>
          <w:szCs w:val="20"/>
          <w:rtl w:val="0"/>
        </w:rPr>
        <w:t xml:space="preserve">Date :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Objectif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Identifier le niveau de maîtrise technique des protocoles de remplissage, de l’architecture, et de la relation client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nk6k9phtxc01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🔹 Partie 1 – Compréhension du remplissage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Qu’est-ce qu’un remplissage ?</w:t>
      </w:r>
    </w:p>
    <w:p w:rsidR="00000000" w:rsidDel="00000000" w:rsidP="00000000" w:rsidRDefault="00000000" w:rsidRPr="00000000" w14:paraId="0000000B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pose complète sur ongles naturels</w:t>
      </w:r>
    </w:p>
    <w:p w:rsidR="00000000" w:rsidDel="00000000" w:rsidP="00000000" w:rsidRDefault="00000000" w:rsidRPr="00000000" w14:paraId="0000000C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intervention ciblée pour remplacer un ongle cassé</w:t>
      </w:r>
    </w:p>
    <w:p w:rsidR="00000000" w:rsidDel="00000000" w:rsidP="00000000" w:rsidRDefault="00000000" w:rsidRPr="00000000" w14:paraId="0000000D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remise à niveau de la matière après la pousse de l’ongle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 moyenne, un remplissage s’effectue toutes les :</w:t>
      </w:r>
    </w:p>
    <w:p w:rsidR="00000000" w:rsidDel="00000000" w:rsidP="00000000" w:rsidRDefault="00000000" w:rsidRPr="00000000" w14:paraId="0000000F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3 à 4 semaines</w:t>
      </w:r>
    </w:p>
    <w:p w:rsidR="00000000" w:rsidDel="00000000" w:rsidP="00000000" w:rsidRDefault="00000000" w:rsidRPr="00000000" w14:paraId="00000010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6 à 8 semaines</w:t>
      </w:r>
    </w:p>
    <w:p w:rsidR="00000000" w:rsidDel="00000000" w:rsidP="00000000" w:rsidRDefault="00000000" w:rsidRPr="00000000" w14:paraId="00000011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fois par semaine</w:t>
      </w:r>
    </w:p>
    <w:p w:rsidR="00000000" w:rsidDel="00000000" w:rsidP="00000000" w:rsidRDefault="00000000" w:rsidRPr="00000000" w14:paraId="0000001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Pourquoi le remplissage est-il indispensable ?</w:t>
      </w:r>
    </w:p>
    <w:p w:rsidR="00000000" w:rsidDel="00000000" w:rsidP="00000000" w:rsidRDefault="00000000" w:rsidRPr="00000000" w14:paraId="00000013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allonger l’ongle</w:t>
      </w:r>
    </w:p>
    <w:p w:rsidR="00000000" w:rsidDel="00000000" w:rsidP="00000000" w:rsidRDefault="00000000" w:rsidRPr="00000000" w14:paraId="00000014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éviter les décollements, déséquilibres ou cassures liés à la repousse</w:t>
      </w:r>
    </w:p>
    <w:p w:rsidR="00000000" w:rsidDel="00000000" w:rsidP="00000000" w:rsidRDefault="00000000" w:rsidRPr="00000000" w14:paraId="00000015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appliquer un nouveau vernis</w:t>
      </w:r>
    </w:p>
    <w:p w:rsidR="00000000" w:rsidDel="00000000" w:rsidP="00000000" w:rsidRDefault="00000000" w:rsidRPr="00000000" w14:paraId="0000001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différence entre une retouche et un remplissage ?</w:t>
      </w:r>
    </w:p>
    <w:p w:rsidR="00000000" w:rsidDel="00000000" w:rsidP="00000000" w:rsidRDefault="00000000" w:rsidRPr="00000000" w14:paraId="00000017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Aucune, ce sont des synonymes</w:t>
      </w:r>
    </w:p>
    <w:p w:rsidR="00000000" w:rsidDel="00000000" w:rsidP="00000000" w:rsidRDefault="00000000" w:rsidRPr="00000000" w14:paraId="00000018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remplissage corrige l’architecture, la retouche vise l’esthétique uniquement</w:t>
      </w:r>
    </w:p>
    <w:p w:rsidR="00000000" w:rsidDel="00000000" w:rsidP="00000000" w:rsidRDefault="00000000" w:rsidRPr="00000000" w14:paraId="00000019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 retouche se fait uniquement en cas de casse</w:t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Une réparation s’effectue :</w:t>
      </w:r>
    </w:p>
    <w:p w:rsidR="00000000" w:rsidDel="00000000" w:rsidP="00000000" w:rsidRDefault="00000000" w:rsidRPr="00000000" w14:paraId="0000001B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Quand un ongle est cassé ou abîmé localement</w:t>
      </w:r>
    </w:p>
    <w:p w:rsidR="00000000" w:rsidDel="00000000" w:rsidP="00000000" w:rsidRDefault="00000000" w:rsidRPr="00000000" w14:paraId="0000001C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À chaque remplissage</w:t>
      </w:r>
    </w:p>
    <w:p w:rsidR="00000000" w:rsidDel="00000000" w:rsidP="00000000" w:rsidRDefault="00000000" w:rsidRPr="00000000" w14:paraId="0000001D">
      <w:pPr>
        <w:numPr>
          <w:ilvl w:val="1"/>
          <w:numId w:val="19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Uniquement si la cliente le demande</w:t>
      </w:r>
    </w:p>
    <w:p w:rsidR="00000000" w:rsidDel="00000000" w:rsidP="00000000" w:rsidRDefault="00000000" w:rsidRPr="00000000" w14:paraId="0000001E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jjk8i9omr5mq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🔹 Partie 2 – Architecture et préparation technique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L’apex est :</w:t>
      </w:r>
    </w:p>
    <w:p w:rsidR="00000000" w:rsidDel="00000000" w:rsidP="00000000" w:rsidRDefault="00000000" w:rsidRPr="00000000" w14:paraId="00000021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finition décorative</w:t>
      </w:r>
    </w:p>
    <w:p w:rsidR="00000000" w:rsidDel="00000000" w:rsidP="00000000" w:rsidRDefault="00000000" w:rsidRPr="00000000" w14:paraId="00000022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Le bombé structurant essentiel à la résistance de l’ongle</w:t>
      </w:r>
    </w:p>
    <w:p w:rsidR="00000000" w:rsidDel="00000000" w:rsidP="00000000" w:rsidRDefault="00000000" w:rsidRPr="00000000" w14:paraId="00000023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zone à poncer avant la pose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Lors du retrait partiel de la matière, il faut :</w:t>
      </w:r>
    </w:p>
    <w:p w:rsidR="00000000" w:rsidDel="00000000" w:rsidP="00000000" w:rsidRDefault="00000000" w:rsidRPr="00000000" w14:paraId="00000025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Tout enlever à la ponceuse</w:t>
      </w:r>
    </w:p>
    <w:p w:rsidR="00000000" w:rsidDel="00000000" w:rsidP="00000000" w:rsidRDefault="00000000" w:rsidRPr="00000000" w14:paraId="00000026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Laisser une fine couche saine et adhérente</w:t>
      </w:r>
    </w:p>
    <w:p w:rsidR="00000000" w:rsidDel="00000000" w:rsidP="00000000" w:rsidRDefault="00000000" w:rsidRPr="00000000" w14:paraId="00000027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Appliquer directement le nouveau gel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Une mauvaise gestion de l’apex peut entraîner :</w:t>
      </w:r>
    </w:p>
    <w:p w:rsidR="00000000" w:rsidDel="00000000" w:rsidP="00000000" w:rsidRDefault="00000000" w:rsidRPr="00000000" w14:paraId="0000002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meilleure tenue</w:t>
      </w:r>
    </w:p>
    <w:p w:rsidR="00000000" w:rsidDel="00000000" w:rsidP="00000000" w:rsidRDefault="00000000" w:rsidRPr="00000000" w14:paraId="0000002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casse ou un déséquilibre de l’ongle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durcissement plus rapide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bonne position du bombé sur un ongle de longueur moyenne ?</w:t>
      </w:r>
    </w:p>
    <w:p w:rsidR="00000000" w:rsidDel="00000000" w:rsidP="00000000" w:rsidRDefault="00000000" w:rsidRPr="00000000" w14:paraId="0000002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 bord libre</w:t>
      </w:r>
    </w:p>
    <w:p w:rsidR="00000000" w:rsidDel="00000000" w:rsidP="00000000" w:rsidRDefault="00000000" w:rsidRPr="00000000" w14:paraId="0000002E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 centre ou légèrement avant la zone de stress</w:t>
      </w:r>
    </w:p>
    <w:p w:rsidR="00000000" w:rsidDel="00000000" w:rsidP="00000000" w:rsidRDefault="00000000" w:rsidRPr="00000000" w14:paraId="0000002F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Sur la lunule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Pourquoi faut-il retravailler les parallèles lors d’un remplissage ?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affiner la ligne de l’ongle et conserver sa forme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pouvoir poser des stickers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Pour créer une surface plus large</w:t>
      </w:r>
    </w:p>
    <w:p w:rsidR="00000000" w:rsidDel="00000000" w:rsidP="00000000" w:rsidRDefault="00000000" w:rsidRPr="00000000" w14:paraId="0000003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5xp2sv19dh8r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🔹 Partie 3 – Produits et application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Quels produits peuvent être utilisés pour un remplissage ?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Vernis simple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Gel, acrygel ou résine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Base coat uniquement</w:t>
      </w:r>
    </w:p>
    <w:p w:rsidR="00000000" w:rsidDel="00000000" w:rsidP="00000000" w:rsidRDefault="00000000" w:rsidRPr="00000000" w14:paraId="0000003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viscosité de gel est la plus adaptée au rééquilibrage d’un apex ?</w:t>
      </w:r>
    </w:p>
    <w:p w:rsidR="00000000" w:rsidDel="00000000" w:rsidP="00000000" w:rsidRDefault="00000000" w:rsidRPr="00000000" w14:paraId="0000003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Très fluide</w:t>
      </w:r>
    </w:p>
    <w:p w:rsidR="00000000" w:rsidDel="00000000" w:rsidP="00000000" w:rsidRDefault="00000000" w:rsidRPr="00000000" w14:paraId="0000003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Auto-égalisant ou de viscosité moyenne à épaisse</w:t>
      </w:r>
    </w:p>
    <w:p w:rsidR="00000000" w:rsidDel="00000000" w:rsidP="00000000" w:rsidRDefault="00000000" w:rsidRPr="00000000" w14:paraId="0000003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Gel de finition uniquement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Lors d’un remplissage, quand applique-t-on le primer ?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Avant la finition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Après le top coat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Après la préparation de la plaque et avant le gel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 est le risque principal d’un mauvais dosage de matière ?</w:t>
      </w:r>
    </w:p>
    <w:p w:rsidR="00000000" w:rsidDel="00000000" w:rsidP="00000000" w:rsidRDefault="00000000" w:rsidRPr="00000000" w14:paraId="00000043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Une tenue renforcée</w:t>
      </w:r>
    </w:p>
    <w:p w:rsidR="00000000" w:rsidDel="00000000" w:rsidP="00000000" w:rsidRDefault="00000000" w:rsidRPr="00000000" w14:paraId="0000004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Des surépaisseurs ou des décollements</w:t>
      </w:r>
    </w:p>
    <w:p w:rsidR="00000000" w:rsidDel="00000000" w:rsidP="00000000" w:rsidRDefault="00000000" w:rsidRPr="00000000" w14:paraId="00000045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 meilleur rendu esthétique</w:t>
      </w:r>
    </w:p>
    <w:p w:rsidR="00000000" w:rsidDel="00000000" w:rsidP="00000000" w:rsidRDefault="00000000" w:rsidRPr="00000000" w14:paraId="0000004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Limer la structure après la pose permet :</w:t>
      </w:r>
    </w:p>
    <w:p w:rsidR="00000000" w:rsidDel="00000000" w:rsidP="00000000" w:rsidRDefault="00000000" w:rsidRPr="00000000" w14:paraId="00000047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D'enlever les décorations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D'équilibrer la forme, d'affiner les lignes et d’harmoniser l’architecture</w:t>
      </w:r>
    </w:p>
    <w:p w:rsidR="00000000" w:rsidDel="00000000" w:rsidP="00000000" w:rsidRDefault="00000000" w:rsidRPr="00000000" w14:paraId="00000049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 retirer le top coat</w:t>
      </w:r>
    </w:p>
    <w:p w:rsidR="00000000" w:rsidDel="00000000" w:rsidP="00000000" w:rsidRDefault="00000000" w:rsidRPr="00000000" w14:paraId="0000004A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jc w:val="both"/>
        <w:rPr>
          <w:rFonts w:ascii="Century Gothic" w:cs="Century Gothic" w:eastAsia="Century Gothic" w:hAnsi="Century Gothic"/>
          <w:sz w:val="26"/>
          <w:szCs w:val="26"/>
        </w:rPr>
      </w:pPr>
      <w:bookmarkStart w:colFirst="0" w:colLast="0" w:name="_ck6jrmm9z4r5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6"/>
          <w:szCs w:val="26"/>
          <w:rtl w:val="0"/>
        </w:rPr>
        <w:t xml:space="preserve">🔹 Partie 4 – Finitions et relation client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Quand propose-t-on un babyboomer ou une french lors d’un remplissage ?</w:t>
      </w:r>
    </w:p>
    <w:p w:rsidR="00000000" w:rsidDel="00000000" w:rsidP="00000000" w:rsidRDefault="00000000" w:rsidRPr="00000000" w14:paraId="0000004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Uniquement à la première pose</w:t>
      </w:r>
    </w:p>
    <w:p w:rsidR="00000000" w:rsidDel="00000000" w:rsidP="00000000" w:rsidRDefault="00000000" w:rsidRPr="00000000" w14:paraId="0000004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Selon les envies esthétiques de la cliente et la faisabilité technique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Quand le gel est trop liquide</w:t>
      </w:r>
    </w:p>
    <w:p w:rsidR="00000000" w:rsidDel="00000000" w:rsidP="00000000" w:rsidRDefault="00000000" w:rsidRPr="00000000" w14:paraId="00000050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Une finition bien posée permet :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 protéger et sublimer la pose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 remplacer le top coat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D’enlever les bulles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Quelle est la durée moyenne d’un remplissage en clientèle ?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30 minutes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1h à 1h30 selon la technique et la finition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3 heures minimum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 une cliente a régulièrement des décollements, il faut 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Ajouter plus de gel à chaque pose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Revoir la préparation et vérifier l’adhérence des produits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Utiliser un gel pailleté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Une bonne gestion du timing permet :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 recevoir plus de clientes dans la journée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De réduire le temps de catalyse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☐ D’éviter l’utilisation du primer</w:t>
      </w:r>
    </w:p>
    <w:p w:rsidR="00000000" w:rsidDel="00000000" w:rsidP="00000000" w:rsidRDefault="00000000" w:rsidRPr="00000000" w14:paraId="00000060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yqikqd1x4002" w:id="4"/>
      <w:bookmarkEnd w:id="4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📊 Barème de notation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Bonne réponse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3 points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partiellement correcte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2 points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Réponse incorrecte ou “je ne sais pas” 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1 point</w:t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Score maximal : 60 points</w:t>
      </w:r>
    </w:p>
    <w:p w:rsidR="00000000" w:rsidDel="00000000" w:rsidP="00000000" w:rsidRDefault="00000000" w:rsidRPr="00000000" w14:paraId="0000006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jc w:val="both"/>
        <w:rPr>
          <w:rFonts w:ascii="Century Gothic" w:cs="Century Gothic" w:eastAsia="Century Gothic" w:hAnsi="Century Gothic"/>
          <w:sz w:val="34"/>
          <w:szCs w:val="34"/>
        </w:rPr>
      </w:pPr>
      <w:bookmarkStart w:colFirst="0" w:colLast="0" w:name="_rudl2zade86n" w:id="5"/>
      <w:bookmarkEnd w:id="5"/>
      <w:r w:rsidDel="00000000" w:rsidR="00000000" w:rsidRPr="00000000">
        <w:rPr>
          <w:rFonts w:ascii="Century Gothic" w:cs="Century Gothic" w:eastAsia="Century Gothic" w:hAnsi="Century Gothic"/>
          <w:sz w:val="34"/>
          <w:szCs w:val="34"/>
          <w:rtl w:val="0"/>
        </w:rPr>
        <w:t xml:space="preserve">🔍 Grille d’interprétation des résultats</w:t>
      </w:r>
    </w:p>
    <w:tbl>
      <w:tblPr>
        <w:tblStyle w:val="Table1"/>
        <w:tblW w:w="9071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5.3660905491337"/>
        <w:gridCol w:w="1688.8201915478194"/>
        <w:gridCol w:w="6387.325528926668"/>
        <w:tblGridChange w:id="0">
          <w:tblGrid>
            <w:gridCol w:w="995.3660905491337"/>
            <w:gridCol w:w="1688.8201915478194"/>
            <w:gridCol w:w="6387.325528926668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Score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Niveau estimé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Interprétation pédagogique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51 – 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Confirmée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Maîtrise solide du remplissage, apte à approfondir la gestion du rythme, de l’architecture et des finitions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36 –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Intermédiaire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Bon socle technique, quelques gestes ou notions à corriger ou renforcer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20 – 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Débutante avancée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Expérience présente mais compréhension partielle des étapes clés du remplissage – accompagnement renforcé à prévoir</w:t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Signature du stagiaire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399000"/>
                          <a:ext cx="1714500" cy="7620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0</wp:posOffset>
                </wp:positionV>
                <wp:extent cx="1727200" cy="774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774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tabs>
        <w:tab w:val="center" w:leader="none" w:pos="4536"/>
        <w:tab w:val="right" w:leader="none" w:pos="9072"/>
      </w:tabs>
      <w:ind w:hanging="2"/>
      <w:jc w:val="right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6"/>
        <w:szCs w:val="16"/>
        <w:rtl w:val="0"/>
      </w:rPr>
      <w:t xml:space="preserve">Document actualisé le 03/07/2025</w:t>
    </w:r>
  </w:p>
  <w:p w:rsidR="00000000" w:rsidDel="00000000" w:rsidP="00000000" w:rsidRDefault="00000000" w:rsidRPr="00000000" w14:paraId="0000007F">
    <w:pPr>
      <w:tabs>
        <w:tab w:val="center" w:leader="none" w:pos="4536"/>
        <w:tab w:val="right" w:leader="none" w:pos="9072"/>
      </w:tabs>
      <w:jc w:val="center"/>
      <w:rPr>
        <w:rFonts w:ascii="Century Gothic" w:cs="Century Gothic" w:eastAsia="Century Gothic" w:hAnsi="Century Gothic"/>
        <w:color w:val="bfbfbf"/>
        <w:sz w:val="16"/>
        <w:szCs w:val="16"/>
      </w:rPr>
    </w:pPr>
    <w:r w:rsidDel="00000000" w:rsidR="00000000" w:rsidRPr="00000000">
      <w:rPr>
        <w:rFonts w:ascii="Century Gothic" w:cs="Century Gothic" w:eastAsia="Century Gothic" w:hAnsi="Century Gothic"/>
        <w:color w:val="bfbfbf"/>
        <w:sz w:val="17"/>
        <w:szCs w:val="17"/>
        <w:rtl w:val="0"/>
      </w:rPr>
      <w:t xml:space="preserve">Jusqu'o bout des ongles 7 RUE RAYMOND MARCHAND , 77100 - NANTEUIL-LES-MEAUX – Siret : 53802864800052 – Enregistré sous le n°11770727677 auprès du préfet de région : Ile de France – Cet enregistrement ne vaut pas agrément de l’État. – Naf : 96.02B – TVA : FR39538028648 – RCS : NANTEUIL-LES-MEAUX – Capital : € – Tel : 06 33 56 26 66 – Email : severinechavanne07@hotmail.comhttps://www.jbobeauty.com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/>
    </w:pPr>
    <w:r w:rsidDel="00000000" w:rsidR="00000000" w:rsidRPr="00000000">
      <w:rPr/>
      <w:drawing>
        <wp:inline distB="0" distT="0" distL="0" distR="0">
          <wp:extent cx="1270000" cy="774700"/>
          <wp:effectExtent b="0" l="0" r="0" t="0"/>
          <wp:docPr descr="https://qaliop.net/wp-content/uploads/2023/11/capture-decran-2023-11-28-a-10.36.25.png" id="2" name="image2.png"/>
          <a:graphic>
            <a:graphicData uri="http://schemas.openxmlformats.org/drawingml/2006/picture">
              <pic:pic>
                <pic:nvPicPr>
                  <pic:cNvPr descr="https://qaliop.net/wp-content/uploads/2023/11/capture-decran-2023-11-28-a-10.36.25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00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